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outlineLvl w:val="0"/>
        <w:rPr>
          <w:rFonts w:ascii="Arial" w:eastAsia="Palatino" w:hAnsi="Arial" w:cs="Arial"/>
          <w:b/>
          <w:bCs/>
          <w:color w:val="000000"/>
          <w:sz w:val="28"/>
          <w:szCs w:val="28"/>
        </w:rPr>
      </w:pPr>
      <w:bookmarkStart w:id="0" w:name="_GoBack"/>
      <w:bookmarkEnd w:id="0"/>
      <w:r>
        <w:rPr>
          <w:rFonts w:ascii="Arial" w:eastAsia="Palatino" w:hAnsi="Arial" w:cs="Arial"/>
          <w:b/>
          <w:bCs/>
          <w:color w:val="000000"/>
          <w:sz w:val="28"/>
          <w:szCs w:val="28"/>
        </w:rPr>
        <w:t>SALT Shaker Podcast</w:t>
      </w:r>
    </w:p>
    <w:p>
      <w:pPr>
        <w:jc w:val="center"/>
        <w:outlineLvl w:val="0"/>
        <w:rPr>
          <w:rFonts w:ascii="Arial" w:eastAsia="Palatino" w:hAnsi="Arial" w:cs="Arial"/>
          <w:b/>
          <w:bCs/>
          <w:color w:val="000000"/>
          <w:sz w:val="28"/>
          <w:szCs w:val="28"/>
        </w:rPr>
      </w:pPr>
      <w:r>
        <w:rPr>
          <w:rFonts w:ascii="Arial" w:eastAsia="Arial" w:hAnsi="Arial" w:cs="Arial"/>
          <w:b/>
          <w:bCs/>
          <w:sz w:val="28"/>
          <w:szCs w:val="28"/>
        </w:rPr>
        <w:t>A Runza for Lunch in Nebraska, Followed by Pecan Pie for Dessert in Alabama</w:t>
      </w:r>
    </w:p>
    <w:p>
      <w:pPr>
        <w:pStyle w:val="BodyText"/>
        <w:spacing w:line="288" w:lineRule="auto"/>
        <w:ind w:left="0" w:firstLine="0"/>
        <w:rPr>
          <w:rFonts w:ascii="Arial" w:hAnsi="Arial" w:cs="Arial"/>
          <w:b/>
        </w:rPr>
      </w:pPr>
    </w:p>
    <w:p>
      <w:pPr>
        <w:pStyle w:val="BodyText"/>
        <w:spacing w:line="288" w:lineRule="auto"/>
        <w:ind w:left="0" w:firstLine="0"/>
        <w:rPr>
          <w:rFonts w:ascii="Arial" w:hAnsi="Arial" w:cs="Arial"/>
        </w:rPr>
      </w:pPr>
      <w:r>
        <w:rPr>
          <w:rFonts w:ascii="Arial" w:hAnsi="Arial" w:cs="Arial"/>
          <w:b/>
        </w:rPr>
        <w:t>Nikki Dobay:</w:t>
      </w:r>
      <w:r>
        <w:rPr>
          <w:rFonts w:ascii="Arial" w:hAnsi="Arial" w:cs="Arial"/>
        </w:rPr>
        <w:t xml:space="preserve"> In this episode, we’ll discuss a Nebraska bill that would fix an issue related to IRC 965 deemed repatriation income and guilty. In addition, we’ll also spend some time on some significant legislation in Alabama.</w:t>
      </w:r>
    </w:p>
    <w:p>
      <w:pPr>
        <w:pStyle w:val="BodyText2"/>
        <w:spacing w:line="288" w:lineRule="auto"/>
        <w:ind w:left="0"/>
        <w:rPr>
          <w:rFonts w:ascii="Arial" w:hAnsi="Arial" w:cs="Arial"/>
        </w:rPr>
      </w:pPr>
      <w:r>
        <w:rPr>
          <w:rFonts w:ascii="Arial" w:hAnsi="Arial" w:cs="Arial"/>
        </w:rPr>
        <w:t>Hello, and welcome to another episode of the Eversheds Sutherland Salt Shaker podcast focused on state and local tax policy issues. My name is Nikki Dobay, partner in the Sacramento office. I’m joined today by Pat Reynolds, Senior Tax Counsel at the Counsel on State Taxation, also known as COST, who will be discussing a Nebraska bill that would fix an issue that came about after the TCJA related to Nebraska DRD. In addition, we’ll be talking to our own partner in the Atlanta office, Jonathan Feldman, about some Alabama legislation.</w:t>
      </w:r>
    </w:p>
    <w:p>
      <w:pPr>
        <w:pStyle w:val="BodyText2"/>
        <w:spacing w:line="288" w:lineRule="auto"/>
        <w:ind w:left="0"/>
        <w:rPr>
          <w:rFonts w:ascii="Arial" w:hAnsi="Arial" w:cs="Arial"/>
        </w:rPr>
      </w:pPr>
      <w:r>
        <w:rPr>
          <w:rFonts w:ascii="Arial" w:hAnsi="Arial" w:cs="Arial"/>
        </w:rPr>
        <w:t>Pat, why don’t you give us the scoop on how we got here with LB 347.</w:t>
      </w:r>
    </w:p>
    <w:p>
      <w:pPr>
        <w:pStyle w:val="BodyText"/>
        <w:spacing w:line="288" w:lineRule="auto"/>
        <w:ind w:left="0" w:firstLine="0"/>
        <w:rPr>
          <w:rFonts w:ascii="Arial" w:hAnsi="Arial" w:cs="Arial"/>
        </w:rPr>
      </w:pPr>
      <w:r>
        <w:rPr>
          <w:rFonts w:ascii="Arial" w:hAnsi="Arial" w:cs="Arial"/>
          <w:b/>
        </w:rPr>
        <w:t>Patrick Reynolds:</w:t>
      </w:r>
      <w:r>
        <w:rPr>
          <w:rFonts w:ascii="Arial" w:hAnsi="Arial" w:cs="Arial"/>
        </w:rPr>
        <w:tab/>
        <w:t xml:space="preserve">Will do, Nikki, thanks. It’s great to talk to you again and Nebraska, as most states, uses as a starting point for determining their corporate income tax, federal taxable income. And then there are a series of subtractions and additions that modify that federal taxable income to come up with Nebraska taxable income. And Nebraska has long included as subtraction modifications or dividends and deemed dividends from corporations which are not subject to the Internal Revenue Code. So, in other words, foreign dividends and foreign deemed dividends have been excluded. And this going back to the 1980s. And largely, the words “deemed dividends” were synonymous with subpart F income. </w:t>
      </w:r>
    </w:p>
    <w:p>
      <w:pPr>
        <w:pStyle w:val="BodyText2"/>
        <w:spacing w:line="288" w:lineRule="auto"/>
        <w:ind w:left="0"/>
        <w:rPr>
          <w:rFonts w:ascii="Arial" w:hAnsi="Arial" w:cs="Arial"/>
        </w:rPr>
      </w:pPr>
      <w:r>
        <w:rPr>
          <w:rFonts w:ascii="Arial" w:hAnsi="Arial" w:cs="Arial"/>
        </w:rPr>
        <w:t xml:space="preserve">So, then, fast forward to TCJA, and we have the 965 deemed repatriation as well as guilty income, which would all impact those calculations. And we thought that deemed dividends would include those amounts. However, the Department of Revenue has taken the position, through a series of general information letters, that deemed dividends do not include those 965 deemed repatriations or the guilty amounts. And we think that is a little bit beyond the scope of the statute, we think the statute is fairly clear that they subtracted not just dividends, so not just actual dividends, but deemed dividends. And so if those guilty and 965 amounts are not deemed dividends, then we kind of don’t know what is. </w:t>
      </w:r>
    </w:p>
    <w:p>
      <w:pPr>
        <w:pStyle w:val="BodyText"/>
        <w:spacing w:line="288" w:lineRule="auto"/>
        <w:ind w:left="0" w:firstLine="0"/>
        <w:rPr>
          <w:rFonts w:ascii="Arial" w:hAnsi="Arial" w:cs="Arial"/>
        </w:rPr>
      </w:pPr>
      <w:r>
        <w:rPr>
          <w:rFonts w:ascii="Arial" w:hAnsi="Arial" w:cs="Arial"/>
          <w:b/>
        </w:rPr>
        <w:t>Nikki Dobay:</w:t>
      </w:r>
      <w:r>
        <w:rPr>
          <w:rFonts w:ascii="Arial" w:hAnsi="Arial" w:cs="Arial"/>
        </w:rPr>
        <w:t xml:space="preserve"> Good point. That rings especially true when you think about deemed repatriation. </w:t>
      </w:r>
    </w:p>
    <w:p>
      <w:pPr>
        <w:pStyle w:val="BodyText"/>
        <w:spacing w:line="288" w:lineRule="auto"/>
        <w:ind w:left="0" w:firstLine="0"/>
        <w:rPr>
          <w:rFonts w:ascii="Arial" w:hAnsi="Arial" w:cs="Arial"/>
        </w:rPr>
      </w:pPr>
      <w:r>
        <w:rPr>
          <w:rFonts w:ascii="Arial" w:hAnsi="Arial" w:cs="Arial"/>
          <w:b/>
        </w:rPr>
        <w:lastRenderedPageBreak/>
        <w:t xml:space="preserve">Patrick Reynolds: </w:t>
      </w:r>
      <w:r>
        <w:rPr>
          <w:rFonts w:ascii="Arial" w:hAnsi="Arial" w:cs="Arial"/>
        </w:rPr>
        <w:t xml:space="preserve">That’s right. </w:t>
      </w:r>
    </w:p>
    <w:p>
      <w:pPr>
        <w:pStyle w:val="BodyText"/>
        <w:spacing w:line="288" w:lineRule="auto"/>
        <w:ind w:left="0" w:firstLine="0"/>
        <w:rPr>
          <w:rFonts w:ascii="Arial" w:hAnsi="Arial" w:cs="Arial"/>
        </w:rPr>
      </w:pPr>
      <w:r>
        <w:rPr>
          <w:rFonts w:ascii="Arial" w:hAnsi="Arial" w:cs="Arial"/>
          <w:b/>
        </w:rPr>
        <w:t>Nikki Dobay:</w:t>
      </w:r>
      <w:r>
        <w:rPr>
          <w:rFonts w:ascii="Arial" w:hAnsi="Arial" w:cs="Arial"/>
        </w:rPr>
        <w:t xml:space="preserve"> That seems like a very logical conclusion. So tell us a little bit more about LB 347. I know that was introduced in January, and you’ve got a lot of tax payers that are pretty hopeful. </w:t>
      </w:r>
    </w:p>
    <w:p>
      <w:pPr>
        <w:pStyle w:val="BodyText"/>
        <w:spacing w:line="288" w:lineRule="auto"/>
        <w:ind w:left="0" w:firstLine="0"/>
        <w:rPr>
          <w:rFonts w:ascii="Arial" w:hAnsi="Arial" w:cs="Arial"/>
        </w:rPr>
      </w:pPr>
      <w:r>
        <w:rPr>
          <w:rFonts w:ascii="Arial" w:hAnsi="Arial" w:cs="Arial"/>
          <w:b/>
        </w:rPr>
        <w:t xml:space="preserve">Patrick Reynolds: </w:t>
      </w:r>
      <w:r>
        <w:rPr>
          <w:rFonts w:ascii="Arial" w:hAnsi="Arial" w:cs="Arial"/>
        </w:rPr>
        <w:t xml:space="preserve">That’s right. And, you know, this legislation was also introduced last year in 2020. It was LB 1203 last year. This year, it is LB 347. But it, in essence, would clarify that deemed dividends under Nebraska law includes those 965 deemed repatriations as well as the guilty amounts. So, it takes out any doubt, to the extent that it existed in the first place – and the Department of Revenue would obviously assert that there is doubt there – but it would remove all doubt for the Department of Revenue, and therefore include those amounts as deemed dividends. Or exclude them, as the case may be. </w:t>
      </w:r>
    </w:p>
    <w:p>
      <w:pPr>
        <w:pStyle w:val="BodyText"/>
        <w:spacing w:line="288" w:lineRule="auto"/>
        <w:ind w:left="0" w:firstLine="0"/>
        <w:rPr>
          <w:rFonts w:ascii="Arial" w:hAnsi="Arial" w:cs="Arial"/>
        </w:rPr>
      </w:pPr>
      <w:r>
        <w:rPr>
          <w:rFonts w:ascii="Arial" w:hAnsi="Arial" w:cs="Arial"/>
          <w:b/>
        </w:rPr>
        <w:t>Nikki Dobay:</w:t>
      </w:r>
      <w:r>
        <w:rPr>
          <w:rFonts w:ascii="Arial" w:hAnsi="Arial" w:cs="Arial"/>
        </w:rPr>
        <w:t xml:space="preserve"> And before we get into the politics related to the bill, just one real quick question. I think, as you mentioned earlier, it’s been Nebraska’s long standing position that subpart F was excluded as a deemed dividend. It sounds like through these general information letters, they’ve backtracked on that position as well? </w:t>
      </w:r>
    </w:p>
    <w:p>
      <w:pPr>
        <w:pStyle w:val="BodyText"/>
        <w:spacing w:line="288" w:lineRule="auto"/>
        <w:ind w:left="0" w:firstLine="0"/>
        <w:rPr>
          <w:rFonts w:ascii="Arial" w:hAnsi="Arial" w:cs="Arial"/>
        </w:rPr>
      </w:pPr>
      <w:r>
        <w:rPr>
          <w:rFonts w:ascii="Arial" w:hAnsi="Arial" w:cs="Arial"/>
          <w:b/>
        </w:rPr>
        <w:t xml:space="preserve">Patrick Reynolds: </w:t>
      </w:r>
      <w:r>
        <w:rPr>
          <w:rFonts w:ascii="Arial" w:hAnsi="Arial" w:cs="Arial"/>
        </w:rPr>
        <w:t xml:space="preserve">Absolutely, absolutely. This is a long standing position that goes back to the </w:t>
      </w:r>
      <w:r>
        <w:rPr>
          <w:rFonts w:ascii="Arial" w:hAnsi="Arial" w:cs="Arial"/>
          <w:i/>
        </w:rPr>
        <w:t>Kellogg</w:t>
      </w:r>
      <w:r>
        <w:rPr>
          <w:rFonts w:ascii="Arial" w:hAnsi="Arial" w:cs="Arial"/>
        </w:rPr>
        <w:t xml:space="preserve"> case in the 1980s, which went up to the Nebraska Supreme Court, and it essentially held that, if you’re going to tax foreign income, you need to include foreign factors in your denominator. And of course back in the 80s, it was a 3 factor formula. Today, it’s single sales factor. But in response to that case, the legislature, I think, recognized the potential for factor dilution for all companies with foreign income, and they instead decided to not tax that income as opposed to bringing in all of the foreign factors into the denominator. So, that statutory provision has stood the test of time since the 80s, and we think there are some parallels happening today with the 965 and guilty amounts, and we think Nebraska will ultimately decide the same thing and hopefully rule that those amounts should not be taxable in the first place. </w:t>
      </w:r>
    </w:p>
    <w:p>
      <w:pPr>
        <w:pStyle w:val="BodyText2"/>
        <w:spacing w:line="288" w:lineRule="auto"/>
        <w:ind w:left="0"/>
        <w:rPr>
          <w:rFonts w:ascii="Arial" w:hAnsi="Arial" w:cs="Arial"/>
        </w:rPr>
      </w:pPr>
      <w:r>
        <w:rPr>
          <w:rFonts w:ascii="Arial" w:hAnsi="Arial" w:cs="Arial"/>
        </w:rPr>
        <w:t xml:space="preserve">You know, and the interesting thing here, Nikki, is that there is no question whatsoever that an actual dividend would be excluded here. It’s just that the Department of Revenue has taken the position that these 965 and guilty amounts are not deemed dividends. But if there is a dividend, there is no question that it would be excluded. </w:t>
      </w:r>
    </w:p>
    <w:p>
      <w:pPr>
        <w:pStyle w:val="BodyText"/>
        <w:spacing w:line="288" w:lineRule="auto"/>
        <w:ind w:left="0" w:firstLine="0"/>
        <w:rPr>
          <w:rFonts w:ascii="Arial" w:hAnsi="Arial" w:cs="Arial"/>
        </w:rPr>
      </w:pPr>
      <w:r>
        <w:rPr>
          <w:rFonts w:ascii="Arial" w:hAnsi="Arial" w:cs="Arial"/>
          <w:b/>
        </w:rPr>
        <w:t>Nikki Dobay:</w:t>
      </w:r>
      <w:r>
        <w:rPr>
          <w:rFonts w:ascii="Arial" w:hAnsi="Arial" w:cs="Arial"/>
        </w:rPr>
        <w:t xml:space="preserve"> And subpart F as well, which would kind of beg the question, and I think you might have said this at the start, what the heck is a deemed dividend? But we’ll put a pin on that, and I assume the department will try to tell us at some point. So, let’s talk </w:t>
      </w:r>
      <w:r>
        <w:rPr>
          <w:rFonts w:ascii="Arial" w:hAnsi="Arial" w:cs="Arial"/>
        </w:rPr>
        <w:lastRenderedPageBreak/>
        <w:t xml:space="preserve">about the players here and what we think is going to happen next on the bill. I assume the department’s not supporting this, so who are the proponents, who are the opponents, and what should we know there? </w:t>
      </w:r>
    </w:p>
    <w:p>
      <w:pPr>
        <w:pStyle w:val="BodyText"/>
        <w:spacing w:line="288" w:lineRule="auto"/>
        <w:ind w:left="0" w:firstLine="0"/>
        <w:rPr>
          <w:rFonts w:ascii="Arial" w:hAnsi="Arial" w:cs="Arial"/>
        </w:rPr>
      </w:pPr>
      <w:r>
        <w:rPr>
          <w:rFonts w:ascii="Arial" w:hAnsi="Arial" w:cs="Arial"/>
          <w:b/>
        </w:rPr>
        <w:t xml:space="preserve">Patrick Reynolds: </w:t>
      </w:r>
      <w:r>
        <w:rPr>
          <w:rFonts w:ascii="Arial" w:hAnsi="Arial" w:cs="Arial"/>
        </w:rPr>
        <w:t xml:space="preserve">Well, actually, if we take last year as an example, the hearing on the bill last year, there were significant swathes of the business community that all stood up in support of the bill, so there were a whole bunch of folks testifying in support, either in person or through letters. There was absolutely zero testimony in opposition to the bill. And then there were two parties that testified in a neutral capacity, one of them being the Department of Revenue and the other being the Open Sky Institute in Nebraska. The Open Sky Policy Institute, and the Open Sky, I think, was just trying to raise questions that if this created any sort of refund type situation, they wanted to make sure it was baked into the budget. </w:t>
      </w:r>
    </w:p>
    <w:p>
      <w:pPr>
        <w:pStyle w:val="BodyText"/>
        <w:spacing w:line="288" w:lineRule="auto"/>
        <w:ind w:left="0" w:firstLine="0"/>
        <w:rPr>
          <w:rFonts w:ascii="Arial" w:hAnsi="Arial" w:cs="Arial"/>
        </w:rPr>
      </w:pPr>
      <w:r>
        <w:rPr>
          <w:rFonts w:ascii="Arial" w:hAnsi="Arial" w:cs="Arial"/>
          <w:b/>
        </w:rPr>
        <w:t>Nikki Dobay:</w:t>
      </w:r>
      <w:r>
        <w:rPr>
          <w:rFonts w:ascii="Arial" w:hAnsi="Arial" w:cs="Arial"/>
        </w:rPr>
        <w:t xml:space="preserve"> Well, we’ll talk about the Open Sky Policy Group on another call because that raises a whole host of questions in my mind, but we’ve got a hearing coming up on February 25</w:t>
      </w:r>
      <w:r>
        <w:rPr>
          <w:rFonts w:ascii="Arial" w:hAnsi="Arial" w:cs="Arial"/>
          <w:vertAlign w:val="superscript"/>
        </w:rPr>
        <w:t>th</w:t>
      </w:r>
      <w:r>
        <w:rPr>
          <w:rFonts w:ascii="Arial" w:hAnsi="Arial" w:cs="Arial"/>
        </w:rPr>
        <w:t xml:space="preserve">. I’ve been getting questions about it. What can tax payers be doing, what should they be doing, what will COST be doing … any insights you can provide there? </w:t>
      </w:r>
    </w:p>
    <w:p>
      <w:pPr>
        <w:pStyle w:val="BodyText"/>
        <w:spacing w:line="288" w:lineRule="auto"/>
        <w:ind w:left="0" w:firstLine="0"/>
        <w:rPr>
          <w:rFonts w:ascii="Arial" w:hAnsi="Arial" w:cs="Arial"/>
        </w:rPr>
      </w:pPr>
      <w:r>
        <w:rPr>
          <w:rFonts w:ascii="Arial" w:hAnsi="Arial" w:cs="Arial"/>
          <w:b/>
        </w:rPr>
        <w:t xml:space="preserve">Patrick Reynolds: </w:t>
      </w:r>
      <w:r>
        <w:rPr>
          <w:rFonts w:ascii="Arial" w:hAnsi="Arial" w:cs="Arial"/>
        </w:rPr>
        <w:t xml:space="preserve">Sure, so I’ll take the easy one first. COST is going to weigh in in support of the bill, just like we weighed in in support of the bill last year, and we encourage those in the business community that support the bill to come forward and to send in a letter or somehow express their support for the measure. And if they have any questions on how to do so, they can contact either you or me, and we’ll get them to the right place. </w:t>
      </w:r>
    </w:p>
    <w:p>
      <w:pPr>
        <w:pStyle w:val="BodyText"/>
        <w:spacing w:line="288" w:lineRule="auto"/>
        <w:ind w:left="0" w:firstLine="0"/>
        <w:rPr>
          <w:rFonts w:ascii="Arial" w:hAnsi="Arial" w:cs="Arial"/>
        </w:rPr>
      </w:pPr>
      <w:r>
        <w:rPr>
          <w:rFonts w:ascii="Arial" w:hAnsi="Arial" w:cs="Arial"/>
          <w:b/>
        </w:rPr>
        <w:t>Nikki Dobay:</w:t>
      </w:r>
      <w:r>
        <w:rPr>
          <w:rFonts w:ascii="Arial" w:hAnsi="Arial" w:cs="Arial"/>
        </w:rPr>
        <w:t xml:space="preserve"> Awesome. And the chamber is another great resource as well. </w:t>
      </w:r>
    </w:p>
    <w:p>
      <w:pPr>
        <w:pStyle w:val="BodyText"/>
        <w:spacing w:line="288" w:lineRule="auto"/>
        <w:ind w:left="0" w:firstLine="0"/>
        <w:rPr>
          <w:rFonts w:ascii="Arial" w:hAnsi="Arial" w:cs="Arial"/>
        </w:rPr>
      </w:pPr>
      <w:r>
        <w:rPr>
          <w:rFonts w:ascii="Arial" w:hAnsi="Arial" w:cs="Arial"/>
          <w:b/>
        </w:rPr>
        <w:t xml:space="preserve">Patrick Reynolds: </w:t>
      </w:r>
      <w:r>
        <w:rPr>
          <w:rFonts w:ascii="Arial" w:hAnsi="Arial" w:cs="Arial"/>
        </w:rPr>
        <w:t xml:space="preserve">That’s right. The Nebraska Chamber of Commerce is coordinating the testimony from the business side, and it’s a great resource. </w:t>
      </w:r>
    </w:p>
    <w:p>
      <w:pPr>
        <w:pStyle w:val="BodyText"/>
        <w:spacing w:line="288" w:lineRule="auto"/>
        <w:ind w:left="0" w:firstLine="0"/>
        <w:rPr>
          <w:rFonts w:ascii="Arial" w:hAnsi="Arial" w:cs="Arial"/>
        </w:rPr>
      </w:pPr>
      <w:r>
        <w:rPr>
          <w:rFonts w:ascii="Arial" w:hAnsi="Arial" w:cs="Arial"/>
          <w:b/>
        </w:rPr>
        <w:t>Nikki Dobay:</w:t>
      </w:r>
      <w:r>
        <w:rPr>
          <w:rFonts w:ascii="Arial" w:hAnsi="Arial" w:cs="Arial"/>
        </w:rPr>
        <w:t xml:space="preserve"> Well, thank you, Pat. Before we go, any final thoughts on this bill or anything else Nebraska while we’re on the topic?</w:t>
      </w:r>
    </w:p>
    <w:p>
      <w:pPr>
        <w:pStyle w:val="BodyText"/>
        <w:spacing w:line="288" w:lineRule="auto"/>
        <w:ind w:left="0" w:firstLine="0"/>
        <w:rPr>
          <w:rFonts w:ascii="Arial" w:hAnsi="Arial" w:cs="Arial"/>
        </w:rPr>
      </w:pPr>
      <w:r>
        <w:rPr>
          <w:rFonts w:ascii="Arial" w:hAnsi="Arial" w:cs="Arial"/>
          <w:b/>
        </w:rPr>
        <w:t xml:space="preserve">Patrick Reynolds: </w:t>
      </w:r>
      <w:r>
        <w:rPr>
          <w:rFonts w:ascii="Arial" w:hAnsi="Arial" w:cs="Arial"/>
        </w:rPr>
        <w:t xml:space="preserve">You know, it’s one of those that I would have thought that this would have been resolved a long time ago, Nikki, especially when you and I traveled to Nebraska when the department was informally taking this position, and you had your first taste of Ronza, but we thought that should have been taken care of back then, but apparently not, and I hope that we finally get to the point where the right decision is made. </w:t>
      </w:r>
    </w:p>
    <w:p>
      <w:pPr>
        <w:pStyle w:val="BodyText"/>
        <w:spacing w:line="288" w:lineRule="auto"/>
        <w:ind w:left="0" w:firstLine="0"/>
        <w:rPr>
          <w:rFonts w:ascii="Arial" w:hAnsi="Arial" w:cs="Arial"/>
        </w:rPr>
      </w:pPr>
      <w:r>
        <w:rPr>
          <w:rFonts w:ascii="Arial" w:hAnsi="Arial" w:cs="Arial"/>
          <w:b/>
        </w:rPr>
        <w:t>Nikki Dobay:</w:t>
      </w:r>
      <w:r>
        <w:rPr>
          <w:rFonts w:ascii="Arial" w:hAnsi="Arial" w:cs="Arial"/>
        </w:rPr>
        <w:t xml:space="preserve"> Well, that’s also where Pat was surprised that I knew what a seed sower was, cause I was able to identify it on top of the capitol, so I think I got a little bit of street </w:t>
      </w:r>
      <w:r>
        <w:rPr>
          <w:rFonts w:ascii="Arial" w:hAnsi="Arial" w:cs="Arial"/>
        </w:rPr>
        <w:lastRenderedPageBreak/>
        <w:t xml:space="preserve">cred on that one, too. But, can’t thank you enough for being here, and I’m sure you’ll be joining us again as we get developments on this bill and other bills that COST is working on. So thanks so much. </w:t>
      </w:r>
    </w:p>
    <w:p>
      <w:pPr>
        <w:pStyle w:val="BodyText"/>
        <w:spacing w:line="288" w:lineRule="auto"/>
        <w:ind w:left="0" w:firstLine="0"/>
        <w:rPr>
          <w:rFonts w:ascii="Arial" w:hAnsi="Arial" w:cs="Arial"/>
        </w:rPr>
      </w:pPr>
      <w:r>
        <w:rPr>
          <w:rFonts w:ascii="Arial" w:hAnsi="Arial" w:cs="Arial"/>
          <w:b/>
        </w:rPr>
        <w:t xml:space="preserve">Patrick Reynolds: </w:t>
      </w:r>
      <w:r>
        <w:rPr>
          <w:rFonts w:ascii="Arial" w:hAnsi="Arial" w:cs="Arial"/>
        </w:rPr>
        <w:t xml:space="preserve">Absolutely, Nikki. Great talking to you, as always. </w:t>
      </w:r>
    </w:p>
    <w:p>
      <w:pPr>
        <w:pStyle w:val="BodyText"/>
        <w:spacing w:line="288" w:lineRule="auto"/>
        <w:ind w:left="0" w:firstLine="0"/>
        <w:rPr>
          <w:rFonts w:ascii="Arial" w:hAnsi="Arial" w:cs="Arial"/>
        </w:rPr>
      </w:pPr>
      <w:r>
        <w:rPr>
          <w:rFonts w:ascii="Arial" w:hAnsi="Arial" w:cs="Arial"/>
          <w:b/>
        </w:rPr>
        <w:t>Nikki Dobay:</w:t>
      </w:r>
      <w:r>
        <w:rPr>
          <w:rFonts w:ascii="Arial" w:hAnsi="Arial" w:cs="Arial"/>
        </w:rPr>
        <w:t xml:space="preserve"> Alright, Jonathan. I hear there’s some pretty big things going on in Alabama. Can you fill us in?</w:t>
      </w:r>
    </w:p>
    <w:p>
      <w:pPr>
        <w:pStyle w:val="BodyText"/>
        <w:spacing w:line="288" w:lineRule="auto"/>
        <w:ind w:left="0" w:firstLine="0"/>
        <w:rPr>
          <w:rFonts w:ascii="Arial" w:hAnsi="Arial" w:cs="Arial"/>
        </w:rPr>
      </w:pPr>
      <w:r>
        <w:rPr>
          <w:rFonts w:ascii="Arial" w:hAnsi="Arial" w:cs="Arial"/>
          <w:b/>
        </w:rPr>
        <w:t>Jonathan Feldman:</w:t>
      </w:r>
      <w:r>
        <w:rPr>
          <w:rFonts w:ascii="Arial" w:hAnsi="Arial" w:cs="Arial"/>
        </w:rPr>
        <w:t xml:space="preserve"> Sure. Thanks, Nikki. House Bill 170 is significant tax legislation that includes three separate acts: the Alabama Business Competitiveness Act; the Alabama Stimulus Freedom Act of 2021; and the Alabama Electing Pass-through Entity Tax Act. House Bill 170 has passed the Alabama House with a vote of 92 to 0 on February 4 of this year, which is significant because that was the second day of the legislative session. </w:t>
      </w:r>
    </w:p>
    <w:p>
      <w:pPr>
        <w:pStyle w:val="BodyText2"/>
        <w:spacing w:line="288" w:lineRule="auto"/>
        <w:ind w:left="0"/>
        <w:rPr>
          <w:rFonts w:ascii="Arial" w:hAnsi="Arial" w:cs="Arial"/>
        </w:rPr>
      </w:pPr>
      <w:r>
        <w:rPr>
          <w:rFonts w:ascii="Arial" w:hAnsi="Arial" w:cs="Arial"/>
        </w:rPr>
        <w:t xml:space="preserve">I’ll go through each separate act individually. </w:t>
      </w:r>
    </w:p>
    <w:p>
      <w:pPr>
        <w:pStyle w:val="BodyText2"/>
        <w:spacing w:line="288" w:lineRule="auto"/>
        <w:ind w:left="0"/>
        <w:rPr>
          <w:rFonts w:ascii="Arial" w:hAnsi="Arial" w:cs="Arial"/>
        </w:rPr>
      </w:pPr>
      <w:r>
        <w:rPr>
          <w:rFonts w:ascii="Arial" w:hAnsi="Arial" w:cs="Arial"/>
        </w:rPr>
        <w:t xml:space="preserve">The Alabama Stimulus Freedom Act of 2021 provides conformity to federal COVID related stimulus programs within the CARES Act and the Consolidated Appropriations Act of 2021. This act would exempt the stimulus payment advanced refund grant in loans forgiven under the Paycheck Protection Program, including expenses paid with PPP loan. Accepting these items is a key focus of Alabama Governor Kay Ivey, who noted that she wanted this to be one of the first bills passed by the legislature in 2021. This has likely fast-tracked this bill, further suggested by its unanimous passage in the Alabama House. </w:t>
      </w:r>
    </w:p>
    <w:p>
      <w:pPr>
        <w:pStyle w:val="BodyText2"/>
        <w:spacing w:line="288" w:lineRule="auto"/>
        <w:ind w:left="0"/>
        <w:rPr>
          <w:rFonts w:ascii="Arial" w:hAnsi="Arial" w:cs="Arial"/>
        </w:rPr>
      </w:pPr>
      <w:r>
        <w:rPr>
          <w:rFonts w:ascii="Arial" w:hAnsi="Arial" w:cs="Arial"/>
        </w:rPr>
        <w:t xml:space="preserve">The second one is the Alabama Electing Pass-through Entity Tax Act. This will allow flow-through entities to elect to pay Alabama tax at the entity level as a means to avoid the $10,000 SALT cap. </w:t>
      </w:r>
    </w:p>
    <w:p>
      <w:pPr>
        <w:pStyle w:val="BodyText"/>
        <w:spacing w:line="288" w:lineRule="auto"/>
        <w:ind w:left="0" w:firstLine="0"/>
        <w:rPr>
          <w:rFonts w:ascii="Arial" w:hAnsi="Arial" w:cs="Arial"/>
        </w:rPr>
      </w:pPr>
      <w:r>
        <w:rPr>
          <w:rFonts w:ascii="Arial" w:hAnsi="Arial" w:cs="Arial"/>
          <w:b/>
        </w:rPr>
        <w:t>Nikki Dobay:</w:t>
      </w:r>
      <w:r>
        <w:rPr>
          <w:rFonts w:ascii="Arial" w:hAnsi="Arial" w:cs="Arial"/>
        </w:rPr>
        <w:t xml:space="preserve"> Thanks, Jonathan. Those acts are quite a mouthful, but it’s my understanding that all the action is in the third act. Can you give us some additional information about that piece?</w:t>
      </w:r>
    </w:p>
    <w:p>
      <w:pPr>
        <w:pStyle w:val="BodyText"/>
        <w:spacing w:line="288" w:lineRule="auto"/>
        <w:ind w:left="0" w:firstLine="0"/>
        <w:rPr>
          <w:rFonts w:ascii="Arial" w:hAnsi="Arial" w:cs="Arial"/>
        </w:rPr>
      </w:pPr>
      <w:r>
        <w:rPr>
          <w:rFonts w:ascii="Arial" w:hAnsi="Arial" w:cs="Arial"/>
          <w:b/>
        </w:rPr>
        <w:t>Jonathan Feldman:</w:t>
      </w:r>
      <w:r>
        <w:rPr>
          <w:rFonts w:ascii="Arial" w:hAnsi="Arial" w:cs="Arial"/>
        </w:rPr>
        <w:t xml:space="preserve"> Yeah, sure. This is really where most of the corporate tax provisions are included; that’s the Alabama Business Competitiveness Act. It generally effective for tax years beginning January 1, 2021, so for this tax year. The act addresses corporate tax reform and attempts to bring Alabama in line with many of the states in which it competes for economic development. </w:t>
      </w:r>
    </w:p>
    <w:p>
      <w:pPr>
        <w:pStyle w:val="BodyText2"/>
        <w:spacing w:line="288" w:lineRule="auto"/>
        <w:ind w:left="0"/>
        <w:rPr>
          <w:rFonts w:ascii="Arial" w:hAnsi="Arial" w:cs="Arial"/>
        </w:rPr>
      </w:pPr>
      <w:r>
        <w:rPr>
          <w:rFonts w:ascii="Arial" w:hAnsi="Arial" w:cs="Arial"/>
        </w:rPr>
        <w:t xml:space="preserve">First, it would change apportionment from the three factor with double weighted sales to single sales factor for most tax payers for tax years beginning on or after January 1, 2021. </w:t>
      </w:r>
      <w:r>
        <w:rPr>
          <w:rFonts w:ascii="Arial" w:hAnsi="Arial" w:cs="Arial"/>
        </w:rPr>
        <w:lastRenderedPageBreak/>
        <w:t xml:space="preserve">As of 2021, approximately 21 states already employ single sales apportionment, including most of the southeastern states for which Alabama is competing for economic development. Along with transitioning to a single sales factor, this act would also eliminate the throw-back provision, which becomes a greater impediment to economic development when apportionment is determined only based on sales. The throw-back rule currently applies to sales of tangible personal property shipped from an in-state location to a customer located in a state where the seller is not subject to tax. About half the states with a corporate income tax have a throw-back rule, but the only other southeastern states with such rule are Arkansas and Mississippi. However, the legislation does not get rid of the throw-out rule that applies to sales of intangible property where the seller is not taxable in the state where the sale is sourced. </w:t>
      </w:r>
    </w:p>
    <w:p>
      <w:pPr>
        <w:pStyle w:val="BodyText"/>
        <w:spacing w:line="288" w:lineRule="auto"/>
        <w:ind w:left="0" w:firstLine="0"/>
        <w:rPr>
          <w:rFonts w:ascii="Arial" w:hAnsi="Arial" w:cs="Arial"/>
        </w:rPr>
      </w:pPr>
      <w:r>
        <w:rPr>
          <w:rFonts w:ascii="Arial" w:hAnsi="Arial" w:cs="Arial"/>
          <w:b/>
        </w:rPr>
        <w:t>Nikki Dobay:</w:t>
      </w:r>
      <w:r>
        <w:rPr>
          <w:rFonts w:ascii="Arial" w:hAnsi="Arial" w:cs="Arial"/>
        </w:rPr>
        <w:t xml:space="preserve"> It’s too bad that throw-out rule is going to remain. My understanding is also that the bill covers some TCJA issues?</w:t>
      </w:r>
    </w:p>
    <w:p>
      <w:pPr>
        <w:pStyle w:val="BodyText"/>
        <w:spacing w:line="288" w:lineRule="auto"/>
        <w:ind w:left="0" w:firstLine="0"/>
        <w:rPr>
          <w:rFonts w:ascii="Arial" w:hAnsi="Arial" w:cs="Arial"/>
        </w:rPr>
      </w:pPr>
      <w:r>
        <w:rPr>
          <w:rFonts w:ascii="Arial" w:hAnsi="Arial" w:cs="Arial"/>
          <w:b/>
        </w:rPr>
        <w:t>Jonathan Feldman:</w:t>
      </w:r>
      <w:r>
        <w:rPr>
          <w:rFonts w:ascii="Arial" w:hAnsi="Arial" w:cs="Arial"/>
        </w:rPr>
        <w:t xml:space="preserve"> Yeah, you’re right. The Business Competitiveness Act also decouples from guilty. Such taxation of guilty income was already constitutionally questionable pursuant to the </w:t>
      </w:r>
      <w:r>
        <w:rPr>
          <w:rFonts w:ascii="Arial" w:hAnsi="Arial" w:cs="Arial"/>
          <w:i/>
        </w:rPr>
        <w:t xml:space="preserve">Kraft </w:t>
      </w:r>
      <w:r>
        <w:rPr>
          <w:rFonts w:ascii="Arial" w:hAnsi="Arial" w:cs="Arial"/>
        </w:rPr>
        <w:t xml:space="preserve">case, and Alabama generally being a separate reporting state. This decoupling from guilty would be retroactive to tax years beginning after December 31, 2017, which may result in refund opportunities if guilty income was included in 2018 and 2019 filing. The Alabama Business Competitiveness Act also provides rules for calculating IRC 163-J interest limitations for Alabama purposes. Unlike many states, Alabama has not decoupled from IRC Section 1, 68-K bonus depreciation and thus, Alabama has not decoupled from 163-J. For corporations that do not have a 163-J limitation for federal purposes, including corporations that file as part of a consolidated federal return, if the consolidated group does not have a 163-J limitation, there is no 163-J limitation for Alabama purposes. This provides some relief for tax payers who file as part of a federal consolidated return and do not have federal 163-J limitation or would otherwise have a 163-J limitation on a separate company basis. </w:t>
      </w:r>
    </w:p>
    <w:p>
      <w:pPr>
        <w:pStyle w:val="BodyText2"/>
        <w:spacing w:line="288" w:lineRule="auto"/>
        <w:ind w:left="0"/>
        <w:rPr>
          <w:rFonts w:ascii="Arial" w:hAnsi="Arial" w:cs="Arial"/>
        </w:rPr>
      </w:pPr>
      <w:r>
        <w:rPr>
          <w:rFonts w:ascii="Arial" w:hAnsi="Arial" w:cs="Arial"/>
        </w:rPr>
        <w:t xml:space="preserve">For corporations that do have 163-J limitations for federal purposes, the calculation of the limitations for Alabama purposes would be computed on a separate company basis for those companies that file separate company Alabama returns. It still also provides ordering rules for the interaction between the 163-J limitation and Alabama’s related party interest add-back. </w:t>
      </w:r>
    </w:p>
    <w:p>
      <w:pPr>
        <w:pStyle w:val="BodyText"/>
        <w:spacing w:line="288" w:lineRule="auto"/>
        <w:ind w:left="0" w:firstLine="0"/>
        <w:rPr>
          <w:rFonts w:ascii="Arial" w:hAnsi="Arial" w:cs="Arial"/>
        </w:rPr>
      </w:pPr>
      <w:r>
        <w:rPr>
          <w:rFonts w:ascii="Arial" w:hAnsi="Arial" w:cs="Arial"/>
          <w:b/>
        </w:rPr>
        <w:t>Nikki Dobay:</w:t>
      </w:r>
      <w:r>
        <w:rPr>
          <w:rFonts w:ascii="Arial" w:hAnsi="Arial" w:cs="Arial"/>
        </w:rPr>
        <w:t xml:space="preserve"> Well, thanks Jonathan. That’s really great information.  Sounds like the bill will be moving over to the Senate, and we’ll be keeping an eye on it. Any final thoughts? </w:t>
      </w:r>
    </w:p>
    <w:p>
      <w:pPr>
        <w:pStyle w:val="BodyText"/>
        <w:spacing w:line="288" w:lineRule="auto"/>
        <w:ind w:left="0" w:firstLine="0"/>
        <w:rPr>
          <w:rFonts w:ascii="Arial" w:hAnsi="Arial" w:cs="Arial"/>
        </w:rPr>
      </w:pPr>
      <w:r>
        <w:rPr>
          <w:rFonts w:ascii="Arial" w:hAnsi="Arial" w:cs="Arial"/>
          <w:b/>
        </w:rPr>
        <w:lastRenderedPageBreak/>
        <w:t>Jonathan Feldman:</w:t>
      </w:r>
      <w:r>
        <w:rPr>
          <w:rFonts w:ascii="Arial" w:hAnsi="Arial" w:cs="Arial"/>
        </w:rPr>
        <w:t xml:space="preserve"> Yeah, as noted, this is a key focus of the governor, so we do expect it’ll get attention, and probably pretty quickly, in the Senate, so we’ll keep track of that. </w:t>
      </w:r>
    </w:p>
    <w:p>
      <w:pPr>
        <w:pStyle w:val="BodyText"/>
        <w:spacing w:line="288" w:lineRule="auto"/>
        <w:ind w:left="0" w:firstLine="0"/>
        <w:rPr>
          <w:rFonts w:ascii="Arial" w:hAnsi="Arial" w:cs="Arial"/>
        </w:rPr>
      </w:pPr>
      <w:r>
        <w:rPr>
          <w:rFonts w:ascii="Arial" w:hAnsi="Arial" w:cs="Arial"/>
          <w:b/>
        </w:rPr>
        <w:t>Nikki Dobay:</w:t>
      </w:r>
      <w:r>
        <w:rPr>
          <w:rFonts w:ascii="Arial" w:hAnsi="Arial" w:cs="Arial"/>
        </w:rPr>
        <w:t xml:space="preserve"> Thanks again. And once again, that was Jonathan Feldman, partner in the Atlanta office at Eversheds Sutherland. </w:t>
      </w:r>
    </w:p>
    <w:p>
      <w:pPr>
        <w:pStyle w:val="BodyText2"/>
        <w:spacing w:line="288" w:lineRule="auto"/>
        <w:ind w:left="0"/>
        <w:rPr>
          <w:rFonts w:ascii="Arial" w:hAnsi="Arial" w:cs="Arial"/>
        </w:rPr>
      </w:pPr>
      <w:r>
        <w:rPr>
          <w:rFonts w:ascii="Arial" w:hAnsi="Arial" w:cs="Arial"/>
        </w:rPr>
        <w:t xml:space="preserve">Thank you both for joining us and for your insights. Please join us again, next, when we’ll continue to provide more legislative updates. In the meantime, head over to the website, stateandlocaltax.com, for all current updates. </w:t>
      </w:r>
    </w:p>
    <w:p>
      <w:pPr>
        <w:pStyle w:val="BodyText2"/>
        <w:spacing w:line="288" w:lineRule="auto"/>
        <w:ind w:left="0"/>
        <w:rPr>
          <w:rFonts w:ascii="Arial" w:hAnsi="Arial" w:cs="Arial"/>
        </w:rPr>
      </w:pPr>
      <w:r>
        <w:rPr>
          <w:rFonts w:ascii="Arial" w:hAnsi="Arial" w:cs="Arial"/>
        </w:rPr>
        <w:t xml:space="preserve">Thanks for listening. See you next time. </w:t>
      </w:r>
    </w:p>
    <w:p>
      <w:pPr>
        <w:pStyle w:val="BodyText"/>
        <w:spacing w:line="288" w:lineRule="auto"/>
        <w:ind w:left="0" w:firstLine="0"/>
        <w:rPr>
          <w:rFonts w:ascii="Arial" w:hAnsi="Arial" w:cs="Arial"/>
          <w:b/>
          <w:i/>
        </w:rPr>
      </w:pPr>
      <w:r>
        <w:rPr>
          <w:rFonts w:ascii="Arial" w:hAnsi="Arial" w:cs="Arial"/>
          <w:b/>
          <w:i/>
        </w:rPr>
        <w:t xml:space="preserve">The SALT Shaker Podcast is presented by the state and local tax team of Eversheds Sutherland and is for informational purposes only. The content of the podcast is not intended to constitute legal advice or recommended course of action in any given situation. This podcast is not intended to be, and should not be, relied upon by the recipient in making decisions of a legal nature with the respect to the issues discussed herein. All listeners are encouraged to consult independent counsel before making any decision or taking any action concerning the matters discussed in this podcast. This podcast does not create an attorney-client relationship between Eversheds Sutherland and the listener. </w:t>
      </w:r>
    </w:p>
    <w:sectPr>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14344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BF484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AE819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E8E9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7FA68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DA62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82B7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2463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423F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5C8A9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5E0179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433F5-DCCA-4945-8E5E-45E9BC6E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2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36" w:unhideWhenUsed="1" w:qFormat="1"/>
    <w:lsdException w:name="heading 6" w:semiHidden="1" w:uiPriority="36" w:unhideWhenUsed="1" w:qFormat="1"/>
    <w:lsdException w:name="heading 7" w:semiHidden="1" w:uiPriority="36" w:unhideWhenUsed="1" w:qFormat="1"/>
    <w:lsdException w:name="heading 8" w:semiHidden="1" w:uiPriority="36" w:unhideWhenUsed="1" w:qFormat="1"/>
    <w:lsdException w:name="heading 9" w:semiHidden="1" w:uiPriority="3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6" w:unhideWhenUsed="1"/>
    <w:lsdException w:name="toc 2" w:semiHidden="1" w:uiPriority="56" w:unhideWhenUsed="1"/>
    <w:lsdException w:name="toc 3" w:semiHidden="1" w:uiPriority="56" w:unhideWhenUsed="1"/>
    <w:lsdException w:name="toc 4" w:semiHidden="1" w:uiPriority="56" w:unhideWhenUsed="1"/>
    <w:lsdException w:name="toc 5" w:semiHidden="1" w:uiPriority="56" w:unhideWhenUsed="1"/>
    <w:lsdException w:name="toc 6" w:semiHidden="1" w:uiPriority="56" w:unhideWhenUsed="1"/>
    <w:lsdException w:name="toc 7" w:semiHidden="1" w:uiPriority="56" w:unhideWhenUsed="1"/>
    <w:lsdException w:name="toc 8" w:semiHidden="1" w:uiPriority="56" w:unhideWhenUsed="1"/>
    <w:lsdException w:name="toc 9" w:semiHidden="1" w:uiPriority="56"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iPriority="1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1"/>
    <w:pPr>
      <w:spacing w:after="0" w:line="240" w:lineRule="auto"/>
    </w:pPr>
    <w:rPr>
      <w:rFonts w:ascii="Times New Roman" w:hAnsi="Times New Roman"/>
      <w:sz w:val="24"/>
      <w:szCs w:val="24"/>
    </w:rPr>
  </w:style>
  <w:style w:type="paragraph" w:styleId="Heading1">
    <w:name w:val="heading 1"/>
    <w:basedOn w:val="Normal"/>
    <w:next w:val="Heading2"/>
    <w:link w:val="Heading1Char"/>
    <w:uiPriority w:val="9"/>
    <w:qFormat/>
    <w:pPr>
      <w:keepNext/>
      <w:keepLines/>
      <w:spacing w:before="240" w:after="240"/>
      <w:outlineLvl w:val="0"/>
    </w:pPr>
    <w:rPr>
      <w:rFonts w:eastAsiaTheme="majorEastAsia" w:cstheme="majorBidi"/>
      <w:b/>
      <w:szCs w:val="32"/>
    </w:rPr>
  </w:style>
  <w:style w:type="paragraph" w:styleId="Heading2">
    <w:name w:val="heading 2"/>
    <w:basedOn w:val="Normal"/>
    <w:next w:val="Heading3"/>
    <w:link w:val="Heading2Char"/>
    <w:uiPriority w:val="9"/>
    <w:qFormat/>
    <w:pPr>
      <w:spacing w:before="240" w:after="240"/>
      <w:outlineLvl w:val="1"/>
    </w:pPr>
    <w:rPr>
      <w:rFonts w:eastAsiaTheme="majorEastAsia" w:cstheme="majorBidi"/>
      <w:szCs w:val="26"/>
      <w:u w:val="single"/>
    </w:rPr>
  </w:style>
  <w:style w:type="paragraph" w:styleId="Heading3">
    <w:name w:val="heading 3"/>
    <w:basedOn w:val="Normal"/>
    <w:link w:val="Heading3Char"/>
    <w:uiPriority w:val="9"/>
    <w:qFormat/>
    <w:pPr>
      <w:spacing w:after="240"/>
      <w:outlineLvl w:val="2"/>
    </w:pPr>
    <w:rPr>
      <w:rFonts w:eastAsiaTheme="majorEastAsia" w:cstheme="majorBidi"/>
    </w:rPr>
  </w:style>
  <w:style w:type="paragraph" w:styleId="Heading4">
    <w:name w:val="heading 4"/>
    <w:basedOn w:val="Normal"/>
    <w:link w:val="Heading4Char"/>
    <w:uiPriority w:val="9"/>
    <w:pPr>
      <w:spacing w:after="240"/>
      <w:outlineLvl w:val="3"/>
    </w:pPr>
    <w:rPr>
      <w:rFonts w:eastAsiaTheme="majorEastAsia" w:cstheme="majorBidi"/>
      <w:iCs/>
    </w:rPr>
  </w:style>
  <w:style w:type="paragraph" w:styleId="Heading5">
    <w:name w:val="heading 5"/>
    <w:basedOn w:val="Normal"/>
    <w:link w:val="Heading5Char"/>
    <w:uiPriority w:val="36"/>
    <w:pPr>
      <w:spacing w:after="240"/>
      <w:outlineLvl w:val="4"/>
    </w:pPr>
    <w:rPr>
      <w:rFonts w:eastAsiaTheme="majorEastAsia" w:cstheme="majorBidi"/>
    </w:rPr>
  </w:style>
  <w:style w:type="paragraph" w:styleId="Heading6">
    <w:name w:val="heading 6"/>
    <w:basedOn w:val="Normal"/>
    <w:link w:val="Heading6Char"/>
    <w:uiPriority w:val="36"/>
    <w:pPr>
      <w:spacing w:after="240"/>
      <w:outlineLvl w:val="5"/>
    </w:pPr>
    <w:rPr>
      <w:rFonts w:eastAsiaTheme="majorEastAsia" w:cstheme="majorBidi"/>
    </w:rPr>
  </w:style>
  <w:style w:type="paragraph" w:styleId="Heading7">
    <w:name w:val="heading 7"/>
    <w:basedOn w:val="Normal"/>
    <w:link w:val="Heading7Char"/>
    <w:uiPriority w:val="36"/>
    <w:pPr>
      <w:spacing w:after="240"/>
      <w:outlineLvl w:val="6"/>
    </w:pPr>
    <w:rPr>
      <w:rFonts w:eastAsiaTheme="majorEastAsia" w:cstheme="majorBidi"/>
      <w:iCs/>
    </w:rPr>
  </w:style>
  <w:style w:type="paragraph" w:styleId="Heading8">
    <w:name w:val="heading 8"/>
    <w:basedOn w:val="Normal"/>
    <w:link w:val="Heading8Char"/>
    <w:uiPriority w:val="36"/>
    <w:pPr>
      <w:spacing w:after="240"/>
      <w:outlineLvl w:val="7"/>
    </w:pPr>
    <w:rPr>
      <w:rFonts w:eastAsiaTheme="majorEastAsia" w:cstheme="majorBidi"/>
      <w:szCs w:val="21"/>
    </w:rPr>
  </w:style>
  <w:style w:type="paragraph" w:styleId="Heading9">
    <w:name w:val="heading 9"/>
    <w:basedOn w:val="Normal"/>
    <w:link w:val="Heading9Char"/>
    <w:uiPriority w:val="36"/>
    <w:pPr>
      <w:spacing w:after="240"/>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sz w:val="24"/>
      <w:szCs w:val="26"/>
      <w:u w:val="single"/>
    </w:rPr>
  </w:style>
  <w:style w:type="character" w:customStyle="1" w:styleId="Heading3Char">
    <w:name w:val="Heading 3 Char"/>
    <w:basedOn w:val="DefaultParagraphFont"/>
    <w:link w:val="Heading3"/>
    <w:uiPriority w:val="9"/>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Pr>
      <w:rFonts w:ascii="Times New Roman" w:eastAsiaTheme="majorEastAsia" w:hAnsi="Times New Roman" w:cstheme="majorBidi"/>
      <w:iCs/>
      <w:sz w:val="24"/>
      <w:szCs w:val="24"/>
    </w:rPr>
  </w:style>
  <w:style w:type="character" w:customStyle="1" w:styleId="Heading5Char">
    <w:name w:val="Heading 5 Char"/>
    <w:basedOn w:val="DefaultParagraphFont"/>
    <w:link w:val="Heading5"/>
    <w:uiPriority w:val="36"/>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36"/>
    <w:rPr>
      <w:rFonts w:ascii="Times New Roman" w:eastAsiaTheme="majorEastAsia" w:hAnsi="Times New Roman" w:cstheme="majorBidi"/>
      <w:sz w:val="24"/>
      <w:szCs w:val="24"/>
    </w:rPr>
  </w:style>
  <w:style w:type="character" w:customStyle="1" w:styleId="Heading7Char">
    <w:name w:val="Heading 7 Char"/>
    <w:basedOn w:val="DefaultParagraphFont"/>
    <w:link w:val="Heading7"/>
    <w:uiPriority w:val="36"/>
    <w:rPr>
      <w:rFonts w:ascii="Times New Roman" w:eastAsiaTheme="majorEastAsia" w:hAnsi="Times New Roman" w:cstheme="majorBidi"/>
      <w:iCs/>
      <w:sz w:val="24"/>
      <w:szCs w:val="24"/>
    </w:rPr>
  </w:style>
  <w:style w:type="character" w:customStyle="1" w:styleId="Heading8Char">
    <w:name w:val="Heading 8 Char"/>
    <w:basedOn w:val="DefaultParagraphFont"/>
    <w:link w:val="Heading8"/>
    <w:uiPriority w:val="36"/>
    <w:rPr>
      <w:rFonts w:ascii="Times New Roman" w:eastAsiaTheme="majorEastAsia" w:hAnsi="Times New Roman" w:cstheme="majorBidi"/>
      <w:sz w:val="24"/>
      <w:szCs w:val="21"/>
    </w:rPr>
  </w:style>
  <w:style w:type="character" w:customStyle="1" w:styleId="Heading9Char">
    <w:name w:val="Heading 9 Char"/>
    <w:basedOn w:val="DefaultParagraphFont"/>
    <w:link w:val="Heading9"/>
    <w:uiPriority w:val="36"/>
    <w:rPr>
      <w:rFonts w:ascii="Times New Roman" w:eastAsiaTheme="majorEastAsia" w:hAnsi="Times New Roman" w:cstheme="majorBidi"/>
      <w:iCs/>
      <w:sz w:val="24"/>
      <w:szCs w:val="21"/>
    </w:rPr>
  </w:style>
  <w:style w:type="paragraph" w:customStyle="1" w:styleId="BodyText4">
    <w:name w:val="Body Text 4"/>
    <w:basedOn w:val="Normal"/>
    <w:link w:val="BodyText4Char"/>
    <w:uiPriority w:val="4"/>
    <w:unhideWhenUsed/>
    <w:pPr>
      <w:spacing w:after="240"/>
      <w:ind w:firstLine="720"/>
    </w:pPr>
  </w:style>
  <w:style w:type="paragraph" w:customStyle="1" w:styleId="BodyText5">
    <w:name w:val="Body Text 5"/>
    <w:basedOn w:val="Normal"/>
    <w:link w:val="BodyText5Char"/>
    <w:uiPriority w:val="36"/>
    <w:unhideWhenUsed/>
    <w:pPr>
      <w:spacing w:after="240"/>
      <w:ind w:firstLine="720"/>
    </w:pPr>
  </w:style>
  <w:style w:type="paragraph" w:customStyle="1" w:styleId="BodyText6">
    <w:name w:val="Body Text 6"/>
    <w:basedOn w:val="Normal"/>
    <w:link w:val="BodyText6Char"/>
    <w:uiPriority w:val="36"/>
    <w:unhideWhenUsed/>
    <w:pPr>
      <w:spacing w:after="240"/>
      <w:ind w:firstLine="720"/>
    </w:pPr>
  </w:style>
  <w:style w:type="paragraph" w:customStyle="1" w:styleId="BodyText7">
    <w:name w:val="Body Text 7"/>
    <w:basedOn w:val="Normal"/>
    <w:link w:val="BodyText7Char"/>
    <w:uiPriority w:val="36"/>
    <w:unhideWhenUsed/>
    <w:pPr>
      <w:spacing w:after="240"/>
      <w:ind w:firstLine="720"/>
    </w:pPr>
  </w:style>
  <w:style w:type="paragraph" w:customStyle="1" w:styleId="BodyText8">
    <w:name w:val="Body Text 8"/>
    <w:basedOn w:val="Normal"/>
    <w:link w:val="BodyText8Char"/>
    <w:uiPriority w:val="36"/>
    <w:unhideWhenUsed/>
    <w:pPr>
      <w:spacing w:after="240"/>
      <w:ind w:firstLine="720"/>
    </w:pPr>
  </w:style>
  <w:style w:type="paragraph" w:customStyle="1" w:styleId="BodyText9">
    <w:name w:val="Body Text 9"/>
    <w:basedOn w:val="Normal"/>
    <w:link w:val="BodyText9Char"/>
    <w:uiPriority w:val="36"/>
    <w:unhideWhenUsed/>
    <w:pPr>
      <w:spacing w:after="240"/>
      <w:ind w:firstLine="720"/>
    </w:pPr>
  </w:style>
  <w:style w:type="character" w:customStyle="1" w:styleId="BodyText4Char">
    <w:name w:val="Body Text 4 Char"/>
    <w:basedOn w:val="DefaultParagraphFont"/>
    <w:link w:val="BodyText4"/>
    <w:uiPriority w:val="4"/>
    <w:rPr>
      <w:rFonts w:ascii="Times New Roman" w:hAnsi="Times New Roman"/>
      <w:sz w:val="24"/>
      <w:szCs w:val="24"/>
    </w:rPr>
  </w:style>
  <w:style w:type="character" w:customStyle="1" w:styleId="BodyText5Char">
    <w:name w:val="Body Text 5 Char"/>
    <w:basedOn w:val="DefaultParagraphFont"/>
    <w:link w:val="BodyText5"/>
    <w:uiPriority w:val="36"/>
    <w:rPr>
      <w:rFonts w:ascii="Times New Roman" w:hAnsi="Times New Roman"/>
      <w:sz w:val="24"/>
      <w:szCs w:val="24"/>
    </w:rPr>
  </w:style>
  <w:style w:type="character" w:customStyle="1" w:styleId="BodyText6Char">
    <w:name w:val="Body Text 6 Char"/>
    <w:basedOn w:val="DefaultParagraphFont"/>
    <w:link w:val="BodyText6"/>
    <w:uiPriority w:val="36"/>
    <w:rPr>
      <w:rFonts w:ascii="Times New Roman" w:hAnsi="Times New Roman"/>
      <w:sz w:val="24"/>
      <w:szCs w:val="24"/>
    </w:rPr>
  </w:style>
  <w:style w:type="character" w:customStyle="1" w:styleId="BodyText7Char">
    <w:name w:val="Body Text 7 Char"/>
    <w:basedOn w:val="DefaultParagraphFont"/>
    <w:link w:val="BodyText7"/>
    <w:uiPriority w:val="36"/>
    <w:rPr>
      <w:rFonts w:ascii="Times New Roman" w:hAnsi="Times New Roman"/>
      <w:sz w:val="24"/>
      <w:szCs w:val="24"/>
    </w:rPr>
  </w:style>
  <w:style w:type="character" w:customStyle="1" w:styleId="BodyText8Char">
    <w:name w:val="Body Text 8 Char"/>
    <w:basedOn w:val="DefaultParagraphFont"/>
    <w:link w:val="BodyText8"/>
    <w:uiPriority w:val="36"/>
    <w:rPr>
      <w:rFonts w:ascii="Times New Roman" w:hAnsi="Times New Roman"/>
      <w:sz w:val="24"/>
      <w:szCs w:val="24"/>
    </w:rPr>
  </w:style>
  <w:style w:type="character" w:customStyle="1" w:styleId="BodyText9Char">
    <w:name w:val="Body Text 9 Char"/>
    <w:basedOn w:val="DefaultParagraphFont"/>
    <w:link w:val="BodyText9"/>
    <w:uiPriority w:val="36"/>
    <w:rPr>
      <w:rFonts w:ascii="Times New Roman" w:hAnsi="Times New Roman"/>
      <w:sz w:val="24"/>
      <w:szCs w:val="24"/>
    </w:rPr>
  </w:style>
  <w:style w:type="paragraph" w:styleId="BodyText">
    <w:name w:val="Body Text"/>
    <w:basedOn w:val="Normal"/>
    <w:link w:val="BodyTextChar"/>
    <w:uiPriority w:val="4"/>
    <w:qFormat/>
    <w:pPr>
      <w:spacing w:after="240"/>
      <w:ind w:left="720" w:hanging="720"/>
      <w:jc w:val="both"/>
    </w:pPr>
  </w:style>
  <w:style w:type="character" w:customStyle="1" w:styleId="BodyTextChar">
    <w:name w:val="Body Text Char"/>
    <w:basedOn w:val="DefaultParagraphFont"/>
    <w:link w:val="BodyText"/>
    <w:uiPriority w:val="4"/>
    <w:rPr>
      <w:rFonts w:ascii="Times New Roman" w:hAnsi="Times New Roman"/>
      <w:sz w:val="24"/>
      <w:szCs w:val="24"/>
    </w:rPr>
  </w:style>
  <w:style w:type="paragraph" w:styleId="BodyText2">
    <w:name w:val="Body Text 2"/>
    <w:basedOn w:val="BodyText"/>
    <w:link w:val="BodyText2Char"/>
    <w:uiPriority w:val="4"/>
    <w:qFormat/>
    <w:pPr>
      <w:ind w:firstLine="0"/>
    </w:pPr>
  </w:style>
  <w:style w:type="character" w:customStyle="1" w:styleId="BodyText2Char">
    <w:name w:val="Body Text 2 Char"/>
    <w:basedOn w:val="DefaultParagraphFont"/>
    <w:link w:val="BodyText2"/>
    <w:uiPriority w:val="4"/>
    <w:rPr>
      <w:rFonts w:ascii="Times New Roman" w:hAnsi="Times New Roman"/>
      <w:sz w:val="24"/>
      <w:szCs w:val="24"/>
    </w:rPr>
  </w:style>
  <w:style w:type="paragraph" w:styleId="BodyText3">
    <w:name w:val="Body Text 3"/>
    <w:basedOn w:val="Normal"/>
    <w:link w:val="BodyText3Char"/>
    <w:uiPriority w:val="4"/>
    <w:qFormat/>
    <w:pPr>
      <w:spacing w:after="240"/>
      <w:ind w:firstLine="720"/>
    </w:pPr>
    <w:rPr>
      <w:szCs w:val="16"/>
    </w:rPr>
  </w:style>
  <w:style w:type="character" w:customStyle="1" w:styleId="BodyText3Char">
    <w:name w:val="Body Text 3 Char"/>
    <w:basedOn w:val="DefaultParagraphFont"/>
    <w:link w:val="BodyText3"/>
    <w:uiPriority w:val="4"/>
    <w:rPr>
      <w:rFonts w:ascii="Times New Roman" w:hAnsi="Times New Roman"/>
      <w:sz w:val="24"/>
      <w:szCs w:val="16"/>
    </w:rPr>
  </w:style>
  <w:style w:type="paragraph" w:customStyle="1" w:styleId="Para1D">
    <w:name w:val="Para 1 D"/>
    <w:basedOn w:val="Normal"/>
    <w:uiPriority w:val="49"/>
    <w:pPr>
      <w:spacing w:line="480" w:lineRule="auto"/>
      <w:ind w:firstLine="1440"/>
    </w:pPr>
  </w:style>
  <w:style w:type="paragraph" w:customStyle="1" w:styleId="Para1H">
    <w:name w:val="Para 1 H"/>
    <w:basedOn w:val="Normal"/>
    <w:uiPriority w:val="49"/>
    <w:pPr>
      <w:spacing w:line="360" w:lineRule="auto"/>
      <w:ind w:firstLine="1440"/>
    </w:pPr>
  </w:style>
  <w:style w:type="paragraph" w:customStyle="1" w:styleId="Para1S">
    <w:name w:val="Para 1 S"/>
    <w:basedOn w:val="Normal"/>
    <w:uiPriority w:val="49"/>
    <w:pPr>
      <w:spacing w:after="240"/>
      <w:ind w:firstLine="1440"/>
    </w:pPr>
  </w:style>
  <w:style w:type="paragraph" w:customStyle="1" w:styleId="Para0S">
    <w:name w:val="Para 0 S"/>
    <w:basedOn w:val="Normal"/>
    <w:uiPriority w:val="49"/>
    <w:pPr>
      <w:spacing w:after="240"/>
    </w:pPr>
  </w:style>
  <w:style w:type="paragraph" w:customStyle="1" w:styleId="Para5D">
    <w:name w:val="Para 5 D"/>
    <w:basedOn w:val="Normal"/>
    <w:uiPriority w:val="49"/>
    <w:pPr>
      <w:spacing w:line="480" w:lineRule="auto"/>
      <w:ind w:firstLine="720"/>
    </w:pPr>
  </w:style>
  <w:style w:type="paragraph" w:customStyle="1" w:styleId="Para5H">
    <w:name w:val="Para 5 H"/>
    <w:basedOn w:val="Normal"/>
    <w:uiPriority w:val="49"/>
    <w:pPr>
      <w:spacing w:line="360" w:lineRule="auto"/>
      <w:ind w:firstLine="720"/>
    </w:pPr>
  </w:style>
  <w:style w:type="paragraph" w:customStyle="1" w:styleId="Para5S">
    <w:name w:val="Para 5 S"/>
    <w:basedOn w:val="Normal"/>
    <w:uiPriority w:val="49"/>
    <w:pPr>
      <w:spacing w:after="240"/>
      <w:ind w:firstLine="720"/>
    </w:pPr>
  </w:style>
  <w:style w:type="paragraph" w:styleId="Title">
    <w:name w:val="Title"/>
    <w:basedOn w:val="Normal"/>
    <w:next w:val="Normal"/>
    <w:link w:val="TitleChar"/>
    <w:uiPriority w:val="14"/>
    <w:qFormat/>
    <w:pPr>
      <w:keepNext/>
      <w:keepLines/>
      <w:spacing w:before="240" w:after="240"/>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4"/>
    <w:rPr>
      <w:rFonts w:ascii="Times New Roman" w:eastAsiaTheme="majorEastAsia" w:hAnsi="Times New Roman" w:cstheme="majorBidi"/>
      <w:b/>
      <w:spacing w:val="-10"/>
      <w:kern w:val="28"/>
      <w:sz w:val="32"/>
      <w:szCs w:val="56"/>
    </w:rPr>
  </w:style>
  <w:style w:type="paragraph" w:styleId="Subtitle">
    <w:name w:val="Subtitle"/>
    <w:basedOn w:val="Normal"/>
    <w:next w:val="Normal"/>
    <w:link w:val="SubtitleChar"/>
    <w:uiPriority w:val="15"/>
    <w:qFormat/>
    <w:pPr>
      <w:numPr>
        <w:ilvl w:val="1"/>
      </w:numPr>
      <w:spacing w:after="240"/>
      <w:jc w:val="center"/>
    </w:pPr>
    <w:rPr>
      <w:rFonts w:eastAsiaTheme="minorEastAsia"/>
      <w:sz w:val="28"/>
      <w:szCs w:val="22"/>
    </w:rPr>
  </w:style>
  <w:style w:type="character" w:customStyle="1" w:styleId="SubtitleChar">
    <w:name w:val="Subtitle Char"/>
    <w:basedOn w:val="DefaultParagraphFont"/>
    <w:link w:val="Subtitle"/>
    <w:uiPriority w:val="15"/>
    <w:rPr>
      <w:rFonts w:ascii="Times New Roman" w:eastAsiaTheme="minorEastAsia" w:hAnsi="Times New Roman"/>
      <w:sz w:val="28"/>
    </w:rPr>
  </w:style>
  <w:style w:type="paragraph" w:customStyle="1" w:styleId="TitleBC">
    <w:name w:val="Title BC"/>
    <w:basedOn w:val="Normal"/>
    <w:uiPriority w:val="35"/>
    <w:pPr>
      <w:keepNext/>
      <w:keepLines/>
      <w:spacing w:before="240" w:after="240"/>
      <w:jc w:val="center"/>
    </w:pPr>
    <w:rPr>
      <w:b/>
      <w:sz w:val="32"/>
    </w:rPr>
  </w:style>
  <w:style w:type="paragraph" w:customStyle="1" w:styleId="TitleBCAC">
    <w:name w:val="Title BC AC"/>
    <w:basedOn w:val="Normal"/>
    <w:uiPriority w:val="35"/>
    <w:pPr>
      <w:keepNext/>
      <w:keepLines/>
      <w:spacing w:before="240" w:after="240"/>
      <w:jc w:val="center"/>
    </w:pPr>
    <w:rPr>
      <w:b/>
      <w:caps/>
      <w:sz w:val="32"/>
    </w:rPr>
  </w:style>
  <w:style w:type="paragraph" w:customStyle="1" w:styleId="TitleBCSC">
    <w:name w:val="Title BC SC"/>
    <w:basedOn w:val="Normal"/>
    <w:uiPriority w:val="35"/>
    <w:pPr>
      <w:keepNext/>
      <w:keepLines/>
      <w:spacing w:before="240" w:after="240"/>
      <w:jc w:val="center"/>
    </w:pPr>
    <w:rPr>
      <w:b/>
      <w:smallCaps/>
      <w:sz w:val="32"/>
    </w:rPr>
  </w:style>
  <w:style w:type="paragraph" w:customStyle="1" w:styleId="TitleBL">
    <w:name w:val="Title BL"/>
    <w:basedOn w:val="Normal"/>
    <w:uiPriority w:val="35"/>
    <w:pPr>
      <w:keepNext/>
      <w:keepLines/>
      <w:spacing w:before="240" w:after="240"/>
    </w:pPr>
    <w:rPr>
      <w:b/>
      <w:sz w:val="32"/>
    </w:rPr>
  </w:style>
  <w:style w:type="paragraph" w:customStyle="1" w:styleId="TitleBUC">
    <w:name w:val="Title BUC"/>
    <w:basedOn w:val="Normal"/>
    <w:uiPriority w:val="35"/>
    <w:pPr>
      <w:keepNext/>
      <w:keepLines/>
      <w:spacing w:before="240" w:after="240"/>
      <w:jc w:val="center"/>
    </w:pPr>
    <w:rPr>
      <w:b/>
      <w:sz w:val="32"/>
      <w:u w:val="single"/>
    </w:rPr>
  </w:style>
  <w:style w:type="paragraph" w:customStyle="1" w:styleId="TitleBUL">
    <w:name w:val="Title BUL"/>
    <w:basedOn w:val="Normal"/>
    <w:uiPriority w:val="35"/>
    <w:pPr>
      <w:keepNext/>
      <w:keepLines/>
      <w:spacing w:before="240" w:after="240"/>
    </w:pPr>
    <w:rPr>
      <w:b/>
      <w:sz w:val="32"/>
      <w:u w:val="single"/>
    </w:rPr>
  </w:style>
  <w:style w:type="paragraph" w:customStyle="1" w:styleId="TitleBLAC">
    <w:name w:val="Title BL AC"/>
    <w:basedOn w:val="Normal"/>
    <w:uiPriority w:val="35"/>
    <w:pPr>
      <w:keepNext/>
      <w:keepLines/>
      <w:spacing w:before="240" w:after="240"/>
    </w:pPr>
    <w:rPr>
      <w:b/>
      <w:caps/>
      <w:sz w:val="32"/>
    </w:rPr>
  </w:style>
  <w:style w:type="paragraph" w:customStyle="1" w:styleId="TitleBUCAC">
    <w:name w:val="Title BUC AC"/>
    <w:basedOn w:val="Normal"/>
    <w:uiPriority w:val="35"/>
    <w:pPr>
      <w:keepNext/>
      <w:keepLines/>
      <w:spacing w:before="240" w:after="240"/>
      <w:jc w:val="center"/>
    </w:pPr>
    <w:rPr>
      <w:b/>
      <w:caps/>
      <w:sz w:val="32"/>
      <w:u w:val="single"/>
    </w:rPr>
  </w:style>
  <w:style w:type="paragraph" w:customStyle="1" w:styleId="TitleBULAC">
    <w:name w:val="Title BUL AC"/>
    <w:basedOn w:val="Normal"/>
    <w:uiPriority w:val="35"/>
    <w:pPr>
      <w:keepNext/>
      <w:keepLines/>
      <w:spacing w:before="240" w:after="240"/>
    </w:pPr>
    <w:rPr>
      <w:b/>
      <w:caps/>
      <w:sz w:val="32"/>
      <w:u w:val="single"/>
    </w:rPr>
  </w:style>
  <w:style w:type="paragraph" w:customStyle="1" w:styleId="TitleBLSC">
    <w:name w:val="Title BL SC"/>
    <w:basedOn w:val="Normal"/>
    <w:uiPriority w:val="35"/>
    <w:pPr>
      <w:keepNext/>
      <w:keepLines/>
      <w:spacing w:before="240" w:after="240"/>
    </w:pPr>
    <w:rPr>
      <w:b/>
      <w:smallCaps/>
      <w:sz w:val="32"/>
    </w:rPr>
  </w:style>
  <w:style w:type="paragraph" w:customStyle="1" w:styleId="TitleBUCSC">
    <w:name w:val="Title BUC SC"/>
    <w:basedOn w:val="Normal"/>
    <w:uiPriority w:val="35"/>
    <w:pPr>
      <w:keepNext/>
      <w:keepLines/>
      <w:spacing w:before="240" w:after="240"/>
      <w:jc w:val="center"/>
    </w:pPr>
    <w:rPr>
      <w:b/>
      <w:smallCaps/>
      <w:sz w:val="32"/>
      <w:u w:val="single"/>
    </w:rPr>
  </w:style>
  <w:style w:type="paragraph" w:customStyle="1" w:styleId="TitleBULSC">
    <w:name w:val="Title BUL SC"/>
    <w:basedOn w:val="Normal"/>
    <w:uiPriority w:val="35"/>
    <w:rPr>
      <w:b/>
      <w:smallCaps/>
      <w:sz w:val="32"/>
      <w:u w:val="single"/>
    </w:rPr>
  </w:style>
  <w:style w:type="paragraph" w:styleId="BlockText">
    <w:name w:val="Block Text"/>
    <w:basedOn w:val="Normal"/>
    <w:uiPriority w:val="19"/>
    <w:qFormat/>
    <w:pPr>
      <w:spacing w:after="240"/>
      <w:ind w:left="1440" w:right="1440"/>
    </w:pPr>
    <w:rPr>
      <w:rFonts w:eastAsiaTheme="minorEastAsia"/>
      <w:iCs/>
    </w:rPr>
  </w:style>
  <w:style w:type="paragraph" w:customStyle="1" w:styleId="BlockTextBorder">
    <w:name w:val="Block Text Border"/>
    <w:basedOn w:val="Normal"/>
    <w:uiPriority w:val="19"/>
    <w:unhideWhenUsed/>
    <w:pPr>
      <w:pBdr>
        <w:top w:val="single" w:sz="2" w:space="1" w:color="auto" w:shadow="1"/>
        <w:left w:val="single" w:sz="2" w:space="4" w:color="auto" w:shadow="1"/>
        <w:bottom w:val="single" w:sz="2" w:space="1" w:color="auto" w:shadow="1"/>
        <w:right w:val="single" w:sz="2" w:space="4" w:color="auto" w:shadow="1"/>
      </w:pBdr>
      <w:spacing w:after="120"/>
      <w:ind w:left="1440" w:right="1440"/>
    </w:pPr>
  </w:style>
  <w:style w:type="paragraph" w:customStyle="1" w:styleId="Block1D">
    <w:name w:val="Block 1 D"/>
    <w:basedOn w:val="Normal"/>
    <w:uiPriority w:val="44"/>
    <w:unhideWhenUsed/>
    <w:pPr>
      <w:spacing w:line="480" w:lineRule="auto"/>
      <w:ind w:left="1440" w:right="1440"/>
    </w:pPr>
  </w:style>
  <w:style w:type="paragraph" w:customStyle="1" w:styleId="Block1H">
    <w:name w:val="Block 1 H"/>
    <w:basedOn w:val="Normal"/>
    <w:uiPriority w:val="44"/>
    <w:unhideWhenUsed/>
    <w:pPr>
      <w:spacing w:after="120" w:line="360" w:lineRule="auto"/>
      <w:ind w:left="1440" w:right="1440"/>
    </w:pPr>
  </w:style>
  <w:style w:type="paragraph" w:customStyle="1" w:styleId="Block1S">
    <w:name w:val="Block 1 S"/>
    <w:basedOn w:val="Normal"/>
    <w:uiPriority w:val="44"/>
    <w:unhideWhenUsed/>
    <w:pPr>
      <w:spacing w:after="240"/>
      <w:ind w:left="1440" w:right="1440"/>
    </w:pPr>
  </w:style>
  <w:style w:type="paragraph" w:customStyle="1" w:styleId="Block5D">
    <w:name w:val="Block 5 D"/>
    <w:basedOn w:val="Normal"/>
    <w:uiPriority w:val="44"/>
    <w:unhideWhenUsed/>
    <w:pPr>
      <w:spacing w:line="480" w:lineRule="auto"/>
      <w:ind w:left="720" w:right="720"/>
    </w:pPr>
  </w:style>
  <w:style w:type="paragraph" w:customStyle="1" w:styleId="Block5H">
    <w:name w:val="Block 5 H"/>
    <w:basedOn w:val="Normal"/>
    <w:uiPriority w:val="44"/>
    <w:unhideWhenUsed/>
    <w:pPr>
      <w:spacing w:after="120" w:line="360" w:lineRule="auto"/>
      <w:ind w:left="720" w:right="720"/>
    </w:pPr>
  </w:style>
  <w:style w:type="paragraph" w:customStyle="1" w:styleId="Block5S">
    <w:name w:val="Block 5 S"/>
    <w:basedOn w:val="Normal"/>
    <w:uiPriority w:val="44"/>
    <w:unhideWhenUsed/>
    <w:pPr>
      <w:spacing w:after="240"/>
      <w:ind w:left="720" w:right="720"/>
    </w:pPr>
  </w:style>
  <w:style w:type="paragraph" w:customStyle="1" w:styleId="ParaInd1D">
    <w:name w:val="Para Ind 1 D"/>
    <w:basedOn w:val="Normal"/>
    <w:uiPriority w:val="54"/>
    <w:pPr>
      <w:spacing w:line="480" w:lineRule="auto"/>
      <w:ind w:left="1440"/>
    </w:pPr>
  </w:style>
  <w:style w:type="paragraph" w:customStyle="1" w:styleId="ParaInd1H">
    <w:name w:val="Para Ind 1 H"/>
    <w:basedOn w:val="Normal"/>
    <w:uiPriority w:val="54"/>
    <w:pPr>
      <w:spacing w:after="120" w:line="360" w:lineRule="auto"/>
      <w:ind w:left="1440"/>
    </w:pPr>
  </w:style>
  <w:style w:type="paragraph" w:customStyle="1" w:styleId="ParaInd1S">
    <w:name w:val="Para Ind 1 S"/>
    <w:basedOn w:val="Normal"/>
    <w:uiPriority w:val="54"/>
    <w:pPr>
      <w:spacing w:after="240"/>
      <w:ind w:left="1440"/>
    </w:pPr>
  </w:style>
  <w:style w:type="paragraph" w:customStyle="1" w:styleId="ParaInd5D">
    <w:name w:val="Para Ind 5 D"/>
    <w:basedOn w:val="Normal"/>
    <w:uiPriority w:val="54"/>
    <w:pPr>
      <w:spacing w:line="480" w:lineRule="auto"/>
      <w:ind w:left="720"/>
    </w:pPr>
  </w:style>
  <w:style w:type="paragraph" w:customStyle="1" w:styleId="ParaInd5H">
    <w:name w:val="Para Ind 5 H"/>
    <w:basedOn w:val="Normal"/>
    <w:uiPriority w:val="54"/>
    <w:pPr>
      <w:spacing w:after="120" w:line="360" w:lineRule="auto"/>
      <w:ind w:left="720"/>
    </w:pPr>
  </w:style>
  <w:style w:type="paragraph" w:customStyle="1" w:styleId="ParaInd5S">
    <w:name w:val="Para Ind 5 S"/>
    <w:basedOn w:val="Normal"/>
    <w:uiPriority w:val="54"/>
    <w:pPr>
      <w:spacing w:after="240"/>
      <w:ind w:left="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rPr>
  </w:style>
  <w:style w:type="character" w:styleId="FootnoteReference">
    <w:name w:val="footnote reference"/>
    <w:basedOn w:val="DefaultParagraphFont"/>
    <w:uiPriority w:val="99"/>
    <w:semiHidden/>
    <w:unhideWhenUsed/>
    <w:rPr>
      <w:vertAlign w:val="superscript"/>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b/>
      <w:i/>
      <w:iCs/>
      <w:color w:val="auto"/>
    </w:rPr>
  </w:style>
  <w:style w:type="paragraph" w:styleId="IntenseQuote">
    <w:name w:val="Intense Quote"/>
    <w:basedOn w:val="Normal"/>
    <w:next w:val="Normal"/>
    <w:link w:val="IntenseQuoteChar"/>
    <w:uiPriority w:val="30"/>
    <w:pPr>
      <w:pBdr>
        <w:top w:val="single" w:sz="4" w:space="4" w:color="auto"/>
        <w:bottom w:val="single" w:sz="4" w:space="4" w:color="auto"/>
      </w:pBdr>
      <w:spacing w:before="200" w:after="240"/>
      <w:ind w:left="936" w:right="936"/>
    </w:pPr>
    <w:rPr>
      <w:b/>
      <w:i/>
      <w:iCs/>
    </w:rPr>
  </w:style>
  <w:style w:type="character" w:customStyle="1" w:styleId="IntenseQuoteChar">
    <w:name w:val="Intense Quote Char"/>
    <w:basedOn w:val="DefaultParagraphFont"/>
    <w:link w:val="IntenseQuote"/>
    <w:uiPriority w:val="30"/>
    <w:rPr>
      <w:rFonts w:ascii="Times New Roman" w:hAnsi="Times New Roman"/>
      <w:b/>
      <w:i/>
      <w:iCs/>
      <w:sz w:val="24"/>
      <w:szCs w:val="24"/>
    </w:rPr>
  </w:style>
  <w:style w:type="character" w:styleId="IntenseReference">
    <w:name w:val="Intense Reference"/>
    <w:basedOn w:val="DefaultParagraphFont"/>
    <w:uiPriority w:val="32"/>
    <w:rPr>
      <w:b/>
      <w:bCs/>
      <w:smallCaps/>
      <w:color w:val="auto"/>
      <w:spacing w:val="5"/>
      <w:u w:val="single"/>
    </w:rPr>
  </w:style>
  <w:style w:type="character" w:styleId="Strong">
    <w:name w:val="Strong"/>
    <w:basedOn w:val="DefaultParagraphFont"/>
    <w:uiPriority w:val="22"/>
    <w:rPr>
      <w:b/>
      <w:bCs/>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OC1">
    <w:name w:val="toc 1"/>
    <w:basedOn w:val="Normal"/>
    <w:next w:val="Normal"/>
    <w:autoRedefine/>
    <w:uiPriority w:val="56"/>
    <w:semiHidden/>
    <w:unhideWhenUsed/>
    <w:pPr>
      <w:keepLines/>
      <w:tabs>
        <w:tab w:val="right" w:leader="dot" w:pos="8640"/>
      </w:tabs>
      <w:spacing w:after="240"/>
      <w:ind w:right="720"/>
    </w:pPr>
  </w:style>
  <w:style w:type="paragraph" w:styleId="TOC2">
    <w:name w:val="toc 2"/>
    <w:basedOn w:val="Normal"/>
    <w:next w:val="Normal"/>
    <w:autoRedefine/>
    <w:uiPriority w:val="56"/>
    <w:semiHidden/>
    <w:unhideWhenUsed/>
    <w:pPr>
      <w:keepLines/>
      <w:tabs>
        <w:tab w:val="right" w:leader="dot" w:pos="8640"/>
      </w:tabs>
      <w:spacing w:after="240"/>
      <w:ind w:left="720" w:right="720"/>
    </w:pPr>
  </w:style>
  <w:style w:type="paragraph" w:styleId="TOC3">
    <w:name w:val="toc 3"/>
    <w:basedOn w:val="Normal"/>
    <w:next w:val="Normal"/>
    <w:autoRedefine/>
    <w:uiPriority w:val="56"/>
    <w:semiHidden/>
    <w:unhideWhenUsed/>
    <w:pPr>
      <w:keepLines/>
      <w:tabs>
        <w:tab w:val="right" w:leader="dot" w:pos="8640"/>
      </w:tabs>
      <w:spacing w:after="240"/>
      <w:ind w:left="1440" w:right="720"/>
    </w:pPr>
  </w:style>
  <w:style w:type="paragraph" w:styleId="TOC4">
    <w:name w:val="toc 4"/>
    <w:basedOn w:val="Normal"/>
    <w:next w:val="Normal"/>
    <w:autoRedefine/>
    <w:uiPriority w:val="56"/>
    <w:semiHidden/>
    <w:unhideWhenUsed/>
    <w:pPr>
      <w:keepLines/>
      <w:tabs>
        <w:tab w:val="right" w:leader="dot" w:pos="8640"/>
      </w:tabs>
      <w:spacing w:after="240"/>
      <w:ind w:left="2160" w:right="720"/>
    </w:pPr>
  </w:style>
  <w:style w:type="paragraph" w:styleId="TOC5">
    <w:name w:val="toc 5"/>
    <w:basedOn w:val="Normal"/>
    <w:next w:val="Normal"/>
    <w:autoRedefine/>
    <w:uiPriority w:val="56"/>
    <w:semiHidden/>
    <w:unhideWhenUsed/>
    <w:pPr>
      <w:keepLines/>
      <w:tabs>
        <w:tab w:val="right" w:leader="dot" w:pos="8640"/>
      </w:tabs>
      <w:spacing w:after="240"/>
      <w:ind w:left="2880" w:right="720"/>
    </w:pPr>
  </w:style>
  <w:style w:type="paragraph" w:styleId="TOC6">
    <w:name w:val="toc 6"/>
    <w:basedOn w:val="Normal"/>
    <w:next w:val="Normal"/>
    <w:autoRedefine/>
    <w:uiPriority w:val="56"/>
    <w:semiHidden/>
    <w:unhideWhenUsed/>
    <w:pPr>
      <w:keepLines/>
      <w:tabs>
        <w:tab w:val="right" w:leader="dot" w:pos="8640"/>
      </w:tabs>
      <w:spacing w:after="240"/>
      <w:ind w:left="3600" w:right="720"/>
    </w:pPr>
  </w:style>
  <w:style w:type="paragraph" w:styleId="TOC7">
    <w:name w:val="toc 7"/>
    <w:basedOn w:val="Normal"/>
    <w:next w:val="Normal"/>
    <w:autoRedefine/>
    <w:uiPriority w:val="56"/>
    <w:semiHidden/>
    <w:unhideWhenUsed/>
    <w:pPr>
      <w:keepLines/>
      <w:tabs>
        <w:tab w:val="right" w:leader="dot" w:pos="8640"/>
      </w:tabs>
      <w:spacing w:after="240"/>
      <w:ind w:left="4320" w:right="720"/>
    </w:pPr>
  </w:style>
  <w:style w:type="paragraph" w:styleId="TOC8">
    <w:name w:val="toc 8"/>
    <w:basedOn w:val="Normal"/>
    <w:next w:val="Normal"/>
    <w:autoRedefine/>
    <w:uiPriority w:val="56"/>
    <w:semiHidden/>
    <w:unhideWhenUsed/>
    <w:pPr>
      <w:keepLines/>
      <w:tabs>
        <w:tab w:val="right" w:leader="dot" w:pos="8640"/>
      </w:tabs>
      <w:spacing w:after="240"/>
      <w:ind w:left="5040" w:right="720"/>
    </w:pPr>
  </w:style>
  <w:style w:type="paragraph" w:styleId="TOC9">
    <w:name w:val="toc 9"/>
    <w:basedOn w:val="Normal"/>
    <w:next w:val="Normal"/>
    <w:autoRedefine/>
    <w:uiPriority w:val="56"/>
    <w:semiHidden/>
    <w:unhideWhenUsed/>
    <w:pPr>
      <w:keepLines/>
      <w:tabs>
        <w:tab w:val="right" w:leader="dot" w:pos="8640"/>
      </w:tabs>
      <w:spacing w:after="240"/>
      <w:ind w:left="5760" w:right="720"/>
    </w:pPr>
  </w:style>
  <w:style w:type="paragraph" w:styleId="TOCHeading">
    <w:name w:val="TOC Heading"/>
    <w:basedOn w:val="Heading1"/>
    <w:next w:val="Normal"/>
    <w:uiPriority w:val="35"/>
    <w:unhideWhenUsed/>
    <w:pPr>
      <w:spacing w:before="480" w:after="0"/>
      <w:outlineLvl w:val="9"/>
    </w:pPr>
    <w:rPr>
      <w:b w:val="0"/>
      <w:sz w:val="28"/>
    </w:rPr>
  </w:style>
  <w:style w:type="paragraph" w:styleId="Caption">
    <w:name w:val="caption"/>
    <w:basedOn w:val="Normal"/>
    <w:next w:val="Normal"/>
    <w:uiPriority w:val="35"/>
    <w:unhideWhenUsed/>
    <w:pPr>
      <w:spacing w:after="200"/>
    </w:pPr>
    <w:rPr>
      <w:b/>
      <w:iCs/>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semiHidden/>
    <w:unhideWhenUsed/>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rPr>
      <w:rFonts w:ascii="Times New Roman" w:hAnsi="Times New Roman"/>
      <w:sz w:val="24"/>
      <w:szCs w:val="24"/>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Times New Roman" w:hAnsi="Times New Roman"/>
      <w:sz w:val="24"/>
      <w:szCs w:val="24"/>
    </w:rPr>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rPr>
      <w:rFonts w:ascii="Times New Roman" w:hAnsi="Times New Roman"/>
      <w:sz w:val="24"/>
      <w:szCs w:val="24"/>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Times New Roman" w:hAnsi="Times New Roman"/>
      <w:sz w:val="24"/>
      <w:szCs w:val="24"/>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sz w:val="16"/>
      <w:szCs w:val="16"/>
    </w:rPr>
  </w:style>
  <w:style w:type="paragraph" w:styleId="Closing">
    <w:name w:val="Closing"/>
    <w:basedOn w:val="Normal"/>
    <w:link w:val="ClosingChar"/>
    <w:uiPriority w:val="99"/>
    <w:semiHidden/>
    <w:unhideWhenUsed/>
    <w:pPr>
      <w:ind w:left="4320"/>
    </w:pPr>
  </w:style>
  <w:style w:type="character" w:customStyle="1" w:styleId="ClosingChar">
    <w:name w:val="Closing Char"/>
    <w:basedOn w:val="DefaultParagraphFont"/>
    <w:link w:val="Closing"/>
    <w:uiPriority w:val="99"/>
    <w:semiHidden/>
    <w:rPr>
      <w:rFonts w:ascii="Times New Roman" w:hAnsi="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Times New Roman" w:hAnsi="Times New Roman"/>
      <w:sz w:val="24"/>
      <w:szCs w:val="24"/>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rFonts w:ascii="Times New Roman" w:hAnsi="Times New Roman"/>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Times New Roman" w:hAnsi="Times New Roman"/>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rFonts w:ascii="Times New Roman" w:hAnsi="Times New Roman"/>
      <w:i/>
      <w:iCs/>
      <w:sz w:val="24"/>
      <w:szCs w:val="24"/>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Number5">
    <w:name w:val="List Number 5"/>
    <w:basedOn w:val="Normal"/>
    <w:uiPriority w:val="99"/>
    <w:semiHidden/>
    <w:unhideWhenUsed/>
    <w:pPr>
      <w:numPr>
        <w:numId w:val="10"/>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pPr>
      <w:spacing w:after="0" w:line="240" w:lineRule="auto"/>
    </w:pPr>
    <w:rPr>
      <w:rFonts w:ascii="Times New Roman" w:hAnsi="Times New Roman"/>
      <w:sz w:val="24"/>
      <w:szCs w:val="24"/>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rFonts w:ascii="Times New Roman" w:hAnsi="Times New Roman"/>
      <w:sz w:val="24"/>
      <w:szCs w:val="24"/>
    </w:r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szCs w:val="24"/>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szCs w:val="24"/>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Eversheds Sutherland (US) LLP</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Weiss, Kelsey</cp:lastModifiedBy>
  <cp:revision>2</cp:revision>
  <dcterms:created xsi:type="dcterms:W3CDTF">2021-03-05T13:27:00Z</dcterms:created>
  <dcterms:modified xsi:type="dcterms:W3CDTF">2021-03-05T13:27:00Z</dcterms:modified>
</cp:coreProperties>
</file>